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rPr>
          <w:rFonts w:ascii="Calibri" w:hAnsi="Calibri"/>
          <w:i/>
          <w:color w:val="787878"/>
          <w:sz w:val="17"/>
        </w:rPr>
        <w:t>MÃ HIỆU: KM-POL-SCH-01 | PHIÊN BẢN: 1.0 (2026-2027)</w:t>
        <w:br/>
        <w:t>LƯU HÀNH B2B NỘI BỘ &amp; ĐỐI TÁC TRƯỜNG HỌC</w:t>
      </w:r>
    </w:p>
    <w:p>
      <w:pPr>
        <w:spacing w:after="280"/>
        <w:jc w:val="left"/>
      </w:pPr>
      <w:r>
        <w:rPr>
          <w:rFonts w:ascii="Calibri" w:hAnsi="Calibri"/>
          <w:b/>
          <w:color w:val="1F4E79"/>
          <w:sz w:val="24"/>
        </w:rPr>
        <w:t>KHẢI MINH — SCHOOL SPACE &amp; INTERIOR SOLUTIONS</w:t>
        <w:br/>
      </w:r>
      <w:r>
        <w:rPr>
          <w:rFonts w:ascii="Calibri" w:hAnsi="Calibri"/>
          <w:b/>
          <w:color w:val="5B0E2D"/>
          <w:sz w:val="36"/>
        </w:rPr>
        <w:t>CHÍNH SÁCH KINH DOANH TỔNG THỂ PHÂN KHÚC TRƯỜNG HỌC</w:t>
        <w:br/>
      </w:r>
      <w:r>
        <w:rPr>
          <w:rFonts w:ascii="Calibri" w:hAnsi="Calibri"/>
          <w:color w:val="323232"/>
          <w:sz w:val="21"/>
        </w:rPr>
        <w:t>Quy định nguyên tắc tiếp cận, phân khúc khách hàng, quy trình khảo sát - báo giá - thi công và kiểm soát hợp đồng</w:t>
      </w:r>
    </w:p>
    <w:tbl>
      <w:tblPr>
        <w:tblW w:type="auto" w:w="0"/>
        <w:jc w:val="center"/>
        <w:tblLook w:firstColumn="1" w:firstRow="1" w:lastColumn="0" w:lastRow="0" w:noHBand="0" w:noVBand="1" w:val="04A0"/>
      </w:tblPr>
      <w:tblGrid>
        <w:gridCol w:w="8640"/>
      </w:tblGrid>
      <w:tr>
        <w:tc>
          <w:tcPr>
            <w:tcW w:type="dxa" w:w="8640"/>
            <w:tcMar>
              <w:top w:w="140" w:type="dxa"/>
              <w:bottom w:w="140" w:type="dxa"/>
              <w:left w:w="200" w:type="dxa"/>
              <w:right w:w="200" w:type="dxa"/>
            </w:tcMar>
            <w:shd w:val="clear" w:color="auto" w:fill="F5E6EC"/>
          </w:tcPr>
          <w:p>
            <w:pPr>
              <w:spacing w:before="40" w:after="40"/>
            </w:pPr>
            <w:r>
              <w:rPr>
                <w:rFonts w:ascii="Calibri" w:hAnsi="Calibri"/>
                <w:i/>
                <w:color w:val="5B0E2D"/>
                <w:sz w:val="19"/>
              </w:rPr>
              <w:t>NGUYÊN TẮC CHIẾN LƯỢC CỐT LÕI: LAND → SERVE → EXPAND → INTEGRATE</w:t>
              <w:br/>
              <w:t>Khải Minh giải quyết nhu cầu thực tế của trường học thông qua nội thất an toàn, thẩm mỹ và dịch vụ thi công chuẩn mực. Không biến Khải Minh thành kênh bán phần mềm cưỡng bức. Mọi hợp đồng là quan hệ thương mại độc lập giữa Khải Minh và cơ sở giáo dục.</w:t>
            </w:r>
          </w:p>
        </w:tc>
      </w:tr>
    </w:tbl>
    <w:p>
      <w:pPr>
        <w:spacing w:after="120"/>
      </w:pPr>
    </w:p>
    <w:p>
      <w:pPr>
        <w:spacing w:before="280" w:after="120"/>
      </w:pPr>
      <w:r>
        <w:rPr>
          <w:rFonts w:ascii="Calibri" w:hAnsi="Calibri"/>
          <w:b/>
          <w:color w:val="5B0E2D"/>
          <w:sz w:val="32"/>
        </w:rPr>
        <w:t>I. PHẠM VI ÁP DỤNG VÀ PHÂN KHÚC KHÁCH HÀNG</w:t>
      </w:r>
    </w:p>
    <w:p>
      <w:pPr>
        <w:spacing w:after="80" w:line="276" w:lineRule="auto"/>
      </w:pPr>
      <w:r>
        <w:rPr>
          <w:rFonts w:ascii="Calibri" w:hAnsi="Calibri"/>
          <w:color w:val="323232"/>
          <w:sz w:val="20"/>
        </w:rPr>
        <w:t>Chính sách này áp dụng cho toàn bộ đội ngũ Kinh doanh B2B, Thiết kế Dự án, Vận hành và Thi công của Khải Minh trên toàn quốc giai đoạn 2026–2027.</w:t>
      </w:r>
    </w:p>
    <w:p>
      <w:pPr>
        <w:spacing w:after="80" w:line="276" w:lineRule="auto"/>
      </w:pPr>
      <w:r>
        <w:rPr>
          <w:rFonts w:ascii="Calibri" w:hAnsi="Calibri"/>
          <w:b/>
          <w:color w:val="323232"/>
          <w:sz w:val="20"/>
        </w:rPr>
        <w:t xml:space="preserve">1. Phân khúc khách hàng: </w:t>
      </w:r>
      <w:r>
        <w:rPr>
          <w:rFonts w:ascii="Calibri" w:hAnsi="Calibri"/>
          <w:color w:val="323232"/>
          <w:sz w:val="20"/>
        </w:rPr>
        <w:t>Bao gồm 4 phân khúc khách hàng mục tiêu được định nghĩa rõ ràng:</w:t>
      </w:r>
    </w:p>
    <w:p>
      <w:pPr>
        <w:pStyle w:val="ListBullet"/>
        <w:spacing w:after="80" w:line="276" w:lineRule="auto"/>
      </w:pPr>
      <w:r>
        <w:rPr>
          <w:rFonts w:ascii="Calibri" w:hAnsi="Calibri"/>
          <w:color w:val="323232"/>
          <w:sz w:val="20"/>
        </w:rPr>
        <w:t>Trường mầm non tư thục &amp; quốc tế: Ưu tiên an toàn tuyệt đối, bo tròn góc cạnh, vật liệu không độc hại (E0/E1), màu sắc ấm áp kích thích phát triển giác quan, hệ tủ kệ lưu trữ đồ chơi và góc đọc sách montessori.</w:t>
      </w:r>
    </w:p>
    <w:p>
      <w:pPr>
        <w:pStyle w:val="ListBullet"/>
        <w:spacing w:after="80" w:line="276" w:lineRule="auto"/>
      </w:pPr>
      <w:r>
        <w:rPr>
          <w:rFonts w:ascii="Calibri" w:hAnsi="Calibri"/>
          <w:color w:val="323232"/>
          <w:sz w:val="20"/>
        </w:rPr>
        <w:t>Trường phổ thông tư thục (Tiểu học đến THPT): Ưu tiên thư viện hiện đại, khu căn tin ăn uống sạch sẽ, bàn ghế module linh hoạt thay đổi sơ đồ học nhóm, tủ đồ học sinh bảo mật cá nhân.</w:t>
      </w:r>
    </w:p>
    <w:p>
      <w:pPr>
        <w:pStyle w:val="ListBullet"/>
        <w:spacing w:after="80" w:line="276" w:lineRule="auto"/>
      </w:pPr>
      <w:r>
        <w:rPr>
          <w:rFonts w:ascii="Calibri" w:hAnsi="Calibri"/>
          <w:color w:val="323232"/>
          <w:sz w:val="20"/>
        </w:rPr>
        <w:t>Đơn vị cung ứng suất ăn &amp; Bếp ăn trường học: Ưu tiên khu tiếp nhận hàng hóa một chiều, bàn kiểm tra thực phẩm inox/chống ẩm, kệ phân khu thực phẩm, bảng kiểm checkpoint truy xuất nguồn gốc.</w:t>
      </w:r>
    </w:p>
    <w:p>
      <w:pPr>
        <w:pStyle w:val="ListBullet"/>
        <w:spacing w:after="80" w:line="276" w:lineRule="auto"/>
      </w:pPr>
      <w:r>
        <w:rPr>
          <w:rFonts w:ascii="Calibri" w:hAnsi="Calibri"/>
          <w:color w:val="323232"/>
          <w:sz w:val="20"/>
        </w:rPr>
        <w:t>Trường công lập: Tuân thủ tuyệt đối quy định pháp luật về mua sắm tài sản công và đấu thầu hiện hành. Cung cấp hồ sơ thông số kỹ thuật minh bạch, báo giá cạnh tranh. Nghiêm cấm mọi hình thức chiết khấu cá nhân hay hoa hồng sai quy định.</w:t>
      </w:r>
    </w:p>
    <w:p>
      <w:pPr>
        <w:spacing w:before="280" w:after="120"/>
      </w:pPr>
      <w:r>
        <w:rPr>
          <w:rFonts w:ascii="Calibri" w:hAnsi="Calibri"/>
          <w:b/>
          <w:color w:val="5B0E2D"/>
          <w:sz w:val="32"/>
        </w:rPr>
        <w:t>II. NGUYÊN TẮC BÁO GIÁ VÀ PHÂN CẤP THẨM QUYỀN DUYỆT</w:t>
      </w:r>
    </w:p>
    <w:p>
      <w:pPr>
        <w:spacing w:after="80" w:line="276" w:lineRule="auto"/>
      </w:pPr>
      <w:r>
        <w:rPr>
          <w:rFonts w:ascii="Calibri" w:hAnsi="Calibri"/>
          <w:b/>
          <w:color w:val="323232"/>
          <w:sz w:val="20"/>
        </w:rPr>
        <w:t xml:space="preserve">1. Cơ chế tính giá: </w:t>
      </w:r>
      <w:r>
        <w:rPr>
          <w:rFonts w:ascii="Calibri" w:hAnsi="Calibri"/>
          <w:color w:val="323232"/>
          <w:sz w:val="20"/>
        </w:rPr>
        <w:t>Mọi báo giá phát hành ra khách hàng phải được tính toán dựa trên định mức giá vốn đã kiểm tra và thẩm định:</w:t>
      </w:r>
    </w:p>
    <w:p>
      <w:pPr>
        <w:pStyle w:val="ListBullet"/>
        <w:spacing w:after="80" w:line="276" w:lineRule="auto"/>
      </w:pPr>
      <w:r>
        <w:rPr>
          <w:rFonts w:ascii="Calibri" w:hAnsi="Calibri"/>
          <w:color w:val="323232"/>
          <w:sz w:val="20"/>
        </w:rPr>
        <w:t>Giá bán = Giá vốn vật tư (COGS) + Nhân công sản xuất + Vận chuyển &amp; Lắp đặt + Dự phòng rủi ro (3-5%) + Chi phí quản lý dự án + Thuế VAT + Biên lợi nhuận gộp mục tiêu.</w:t>
      </w:r>
    </w:p>
    <w:p>
      <w:pPr>
        <w:pStyle w:val="ListBullet"/>
        <w:spacing w:after="80" w:line="276" w:lineRule="auto"/>
      </w:pPr>
      <w:r>
        <w:rPr>
          <w:rFonts w:ascii="Calibri" w:hAnsi="Calibri"/>
          <w:color w:val="323232"/>
          <w:sz w:val="20"/>
        </w:rPr>
        <w:t>Biên lợi nhuận gộp tối thiểu (Gross Margin Gate): Phân khúc B2B Trường học yêu cầu Gross Margin ≥ 18.0%. Các gói dịch vụ thiết kế thi công trọn gói yêu cầu Gross Margin ≥ 22.0%.</w:t>
      </w:r>
    </w:p>
    <w:p>
      <w:pPr>
        <w:spacing w:after="80" w:line="276" w:lineRule="auto"/>
      </w:pPr>
      <w:r>
        <w:rPr>
          <w:rFonts w:ascii="Calibri" w:hAnsi="Calibri"/>
          <w:b/>
          <w:color w:val="323232"/>
          <w:sz w:val="20"/>
        </w:rPr>
        <w:t xml:space="preserve">2. Phân cấp duyệt: </w:t>
      </w:r>
      <w:r>
        <w:rPr>
          <w:rFonts w:ascii="Calibri" w:hAnsi="Calibri"/>
          <w:color w:val="323232"/>
          <w:sz w:val="20"/>
        </w:rPr>
        <w:t>Báo giá dưới 50 triệu đồng: Trưởng phòng Kinh doanh B2B thẩm tra và phê duyệt.</w:t>
      </w:r>
    </w:p>
    <w:p>
      <w:pPr>
        <w:pStyle w:val="ListBullet"/>
        <w:spacing w:after="80" w:line="276" w:lineRule="auto"/>
      </w:pPr>
      <w:r>
        <w:rPr>
          <w:rFonts w:ascii="Calibri" w:hAnsi="Calibri"/>
          <w:color w:val="323232"/>
          <w:sz w:val="20"/>
        </w:rPr>
        <w:t>Báo giá từ 50 đến 200 triệu đồng: Giám đốc Thương mại phê duyệt.</w:t>
      </w:r>
    </w:p>
    <w:p>
      <w:pPr>
        <w:pStyle w:val="ListBullet"/>
        <w:spacing w:after="80" w:line="276" w:lineRule="auto"/>
      </w:pPr>
      <w:r>
        <w:rPr>
          <w:rFonts w:ascii="Calibri" w:hAnsi="Calibri"/>
          <w:color w:val="323232"/>
          <w:sz w:val="20"/>
        </w:rPr>
        <w:t>Báo giá trên 200 triệu đồng hoặc dự án có điều khoản đặc thù/công nợ: Tổng Giám đốc điều hành phê duyệt.</w:t>
      </w:r>
    </w:p>
    <w:p>
      <w:pPr>
        <w:spacing w:before="280" w:after="120"/>
      </w:pPr>
      <w:r>
        <w:rPr>
          <w:rFonts w:ascii="Calibri" w:hAnsi="Calibri"/>
          <w:b/>
          <w:color w:val="5B0E2D"/>
          <w:sz w:val="32"/>
        </w:rPr>
        <w:t>III. QUY TRÌNH DỊCH VỤ 7 BƯỚC CHUẨN HÓA</w:t>
      </w:r>
    </w:p>
    <w:p>
      <w:pPr>
        <w:spacing w:after="80" w:line="276" w:lineRule="auto"/>
      </w:pPr>
      <w:r>
        <w:rPr>
          <w:rFonts w:ascii="Calibri" w:hAnsi="Calibri"/>
          <w:color w:val="323232"/>
          <w:sz w:val="20"/>
        </w:rPr>
        <w:t>Bước 1: Tiếp nhận yêu cầu &amp; Xác minh nhu cầu sơ bộ trong vòng 04 giờ làm việc.</w:t>
      </w:r>
    </w:p>
    <w:p>
      <w:pPr>
        <w:spacing w:after="80" w:line="276" w:lineRule="auto"/>
      </w:pPr>
      <w:r>
        <w:rPr>
          <w:rFonts w:ascii="Calibri" w:hAnsi="Calibri"/>
          <w:color w:val="323232"/>
          <w:sz w:val="20"/>
        </w:rPr>
        <w:t>Bước 2: Khảo sát hiện trạng thực tế (Site Survey) tại trường trong vòng 24 - 48 giờ.</w:t>
      </w:r>
    </w:p>
    <w:p>
      <w:pPr>
        <w:spacing w:after="80" w:line="276" w:lineRule="auto"/>
      </w:pPr>
      <w:r>
        <w:rPr>
          <w:rFonts w:ascii="Calibri" w:hAnsi="Calibri"/>
          <w:color w:val="323232"/>
          <w:sz w:val="20"/>
        </w:rPr>
        <w:t>Bước 3: Lập phương án bố trí không gian (Layout 2D/3D Concept) &amp; Danh mục bóc tách sơ bộ.</w:t>
      </w:r>
    </w:p>
    <w:p>
      <w:pPr>
        <w:spacing w:after="80" w:line="276" w:lineRule="auto"/>
      </w:pPr>
      <w:r>
        <w:rPr>
          <w:rFonts w:ascii="Calibri" w:hAnsi="Calibri"/>
          <w:color w:val="323232"/>
          <w:sz w:val="20"/>
        </w:rPr>
        <w:t>Bước 4: Lập Bảng khối lượng BOQ chi tiết &amp; Báo giá thương mại có phê duyệt.</w:t>
      </w:r>
    </w:p>
    <w:p>
      <w:pPr>
        <w:spacing w:after="80" w:line="276" w:lineRule="auto"/>
      </w:pPr>
      <w:r>
        <w:rPr>
          <w:rFonts w:ascii="Calibri" w:hAnsi="Calibri"/>
          <w:color w:val="323232"/>
          <w:sz w:val="20"/>
        </w:rPr>
        <w:t>Bước 5: Ký kết hợp đồng kinh tế và thu tiền đặt cọc tối thiểu 30% - 50%.</w:t>
      </w:r>
    </w:p>
    <w:p>
      <w:pPr>
        <w:spacing w:after="80" w:line="276" w:lineRule="auto"/>
      </w:pPr>
      <w:r>
        <w:rPr>
          <w:rFonts w:ascii="Calibri" w:hAnsi="Calibri"/>
          <w:color w:val="323232"/>
          <w:sz w:val="20"/>
        </w:rPr>
        <w:t>Bước 6: Sản xuất, vận chuyển và thi công lắp đặt tại trường theo đúng tiến độ cam kết.</w:t>
      </w:r>
    </w:p>
    <w:p>
      <w:pPr>
        <w:spacing w:after="80" w:line="276" w:lineRule="auto"/>
      </w:pPr>
      <w:r>
        <w:rPr>
          <w:rFonts w:ascii="Calibri" w:hAnsi="Calibri"/>
          <w:color w:val="323232"/>
          <w:sz w:val="20"/>
        </w:rPr>
        <w:t>Bước 7: Nghiệm thu bàn giao thực tế (POD), đào tạo sử dụng, kích hoạt bảo hành và đối soát thanh toán.</w:t>
      </w:r>
    </w:p>
    <w:p>
      <w:pPr>
        <w:spacing w:before="280" w:after="120"/>
      </w:pPr>
      <w:r>
        <w:rPr>
          <w:rFonts w:ascii="Calibri" w:hAnsi="Calibri"/>
          <w:b/>
          <w:color w:val="5B0E2D"/>
          <w:sz w:val="32"/>
        </w:rPr>
        <w:t>IV. GIẢI QUYẾT TRANH CHẤP VÀ XỬ LÝ NGOẠI LỆ</w:t>
      </w:r>
    </w:p>
    <w:p>
      <w:pPr>
        <w:spacing w:after="80" w:line="276" w:lineRule="auto"/>
      </w:pPr>
      <w:r>
        <w:rPr>
          <w:rFonts w:ascii="Calibri" w:hAnsi="Calibri"/>
          <w:color w:val="323232"/>
          <w:sz w:val="20"/>
        </w:rPr>
        <w:t>Trường hợp phát sinh sai khác mặt bằng hoặc yêu cầu thay đổi thiết kế từ phía nhà trường: Phải lập Biên bản thay đổi phạm vi công việc (Change Order) và ký xác nhận đơn giá bổ sung trước khi tiến hành sản xuất.</w:t>
      </w:r>
    </w:p>
    <w:p>
      <w:pPr>
        <w:spacing w:after="80" w:line="276" w:lineRule="auto"/>
      </w:pPr>
      <w:r>
        <w:rPr>
          <w:rFonts w:ascii="Calibri" w:hAnsi="Calibri"/>
          <w:color w:val="323232"/>
          <w:sz w:val="20"/>
        </w:rPr>
        <w:t>Trường hợp lỗi kỹ thuật hoặc thẩm mỹ từ phía Khải Minh: Cam kết khắc phục hoặc đổi mới sản phẩm trong vòng 48 - 72 giờ làm việc mà không làm gián đoạn lịch học tập và sinh hoạt của học sinh.</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