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Calibri" w:hAnsi="Calibri"/>
          <w:i/>
          <w:color w:val="787878"/>
          <w:sz w:val="17"/>
        </w:rPr>
        <w:t>MÃ HIỆU: KM-POL-SCH-05 | PHIÊN BẢN: 1.0 (2026-2027)</w:t>
        <w:br/>
        <w:t>LƯU HÀNH B2B NỘI BỘ &amp; ĐỐI TÁC TRƯỜNG HỌC</w:t>
      </w:r>
    </w:p>
    <w:p>
      <w:pPr>
        <w:spacing w:after="280"/>
        <w:jc w:val="left"/>
      </w:pPr>
      <w:r>
        <w:rPr>
          <w:rFonts w:ascii="Calibri" w:hAnsi="Calibri"/>
          <w:b/>
          <w:color w:val="1F4E79"/>
          <w:sz w:val="24"/>
        </w:rPr>
        <w:t>KHẢI MINH — SCHOOL SPACE &amp; INTERIOR SOLUTIONS</w:t>
        <w:br/>
      </w:r>
      <w:r>
        <w:rPr>
          <w:rFonts w:ascii="Calibri" w:hAnsi="Calibri"/>
          <w:b/>
          <w:color w:val="5B0E2D"/>
          <w:sz w:val="36"/>
        </w:rPr>
        <w:t>CHÍNH SÁCH THANH TOÁN, GIAO NHẬN, THI CÔNG &amp; BẢO HÀNH</w:t>
        <w:br/>
      </w:r>
      <w:r>
        <w:rPr>
          <w:rFonts w:ascii="Calibri" w:hAnsi="Calibri"/>
          <w:color w:val="323232"/>
          <w:sz w:val="21"/>
        </w:rPr>
        <w:t>Quy định các mốc thanh toán B2B, quy chuẩn thi công không làm gián đoạn lịch học, và cam kết bảo hành 12 - 36 tháng</w:t>
      </w:r>
    </w:p>
    <w:p>
      <w:pPr>
        <w:spacing w:before="280" w:after="120"/>
      </w:pPr>
      <w:r>
        <w:rPr>
          <w:rFonts w:ascii="Calibri" w:hAnsi="Calibri"/>
          <w:b/>
          <w:color w:val="5B0E2D"/>
          <w:sz w:val="32"/>
        </w:rPr>
        <w:t>I. CƠ CHẾ THANH TOÁN THEO GIAI ĐOẠN HỢP ĐỒNG</w:t>
      </w:r>
    </w:p>
    <w:p>
      <w:pPr>
        <w:pStyle w:val="ListBullet"/>
        <w:spacing w:after="80" w:line="276" w:lineRule="auto"/>
      </w:pPr>
      <w:r>
        <w:rPr>
          <w:rFonts w:ascii="Calibri" w:hAnsi="Calibri"/>
          <w:color w:val="323232"/>
          <w:sz w:val="20"/>
        </w:rPr>
        <w:t>Giai đoạn 1 (Đặt cọc ký hợp đồng): 30% - 40% giá trị hợp đồng ngay khi ký kết. Khoản tiền cọc kích hoạt lệnh sản xuất vật tư tại xưởng.</w:t>
      </w:r>
    </w:p>
    <w:p>
      <w:pPr>
        <w:pStyle w:val="ListBullet"/>
        <w:spacing w:after="80" w:line="276" w:lineRule="auto"/>
      </w:pPr>
      <w:r>
        <w:rPr>
          <w:rFonts w:ascii="Calibri" w:hAnsi="Calibri"/>
          <w:color w:val="323232"/>
          <w:sz w:val="20"/>
        </w:rPr>
        <w:t>Giai đoạn 2 (Giao hàng đến trường): 30% - 40% giá trị hợp đồng khi toàn bộ nội thất được tập kết đầy đủ tại công trình trường học.</w:t>
      </w:r>
    </w:p>
    <w:p>
      <w:pPr>
        <w:pStyle w:val="ListBullet"/>
        <w:spacing w:after="80" w:line="276" w:lineRule="auto"/>
      </w:pPr>
      <w:r>
        <w:rPr>
          <w:rFonts w:ascii="Calibri" w:hAnsi="Calibri"/>
          <w:color w:val="323232"/>
          <w:sz w:val="20"/>
        </w:rPr>
        <w:t>Giai đoạn 3 (Nghiệm thu bàn giao hoàn tất): Thanh toán toàn bộ số tiền còn lại (đến 95% hoặc 100%) trong vòng 07 ngày làm việc kể từ ngày ký Biên bản nghiệm thu đưa vào sử dụng.</w:t>
      </w:r>
    </w:p>
    <w:p>
      <w:pPr>
        <w:pStyle w:val="ListBullet"/>
        <w:spacing w:after="80" w:line="276" w:lineRule="auto"/>
      </w:pPr>
      <w:r>
        <w:rPr>
          <w:rFonts w:ascii="Calibri" w:hAnsi="Calibri"/>
          <w:color w:val="323232"/>
          <w:sz w:val="20"/>
        </w:rPr>
        <w:t>Khoản giữ bảo hành (nếu có thỏa thuận): Tối đa 5% giá trị hợp đồng trong thời hạn 06 - 12 tháng hoặc được thay thế bằng Thư bảo lãnh bảo hành của Ngân hàng thương mại.</w:t>
      </w:r>
    </w:p>
    <w:p>
      <w:pPr>
        <w:spacing w:before="280" w:after="120"/>
      </w:pPr>
      <w:r>
        <w:rPr>
          <w:rFonts w:ascii="Calibri" w:hAnsi="Calibri"/>
          <w:b/>
          <w:color w:val="5B0E2D"/>
          <w:sz w:val="32"/>
        </w:rPr>
        <w:t>II. QUY CHUẨN THI CÔNG TRONG KHUÔN VIÊN TRƯỜNG HỌC</w:t>
      </w:r>
    </w:p>
    <w:p>
      <w:pPr>
        <w:spacing w:after="80" w:line="276" w:lineRule="auto"/>
      </w:pPr>
      <w:r>
        <w:rPr>
          <w:rFonts w:ascii="Calibri" w:hAnsi="Calibri"/>
          <w:color w:val="323232"/>
          <w:sz w:val="20"/>
        </w:rPr>
        <w:t>Khải Minh ưu tiên tuyệt đối việc tổ chức lắp đặt vào các khung giờ ngoài giờ học của học sinh: Buổi tối, ngày Thứ Bảy, Chủ Nhật hoặc các kỳ nghỉ hè/nghỉ lễ để đảm bảo an toàn 100%.</w:t>
      </w:r>
    </w:p>
    <w:p>
      <w:pPr>
        <w:spacing w:after="80" w:line="276" w:lineRule="auto"/>
      </w:pPr>
      <w:r>
        <w:rPr>
          <w:rFonts w:ascii="Calibri" w:hAnsi="Calibri"/>
          <w:color w:val="323232"/>
          <w:sz w:val="20"/>
        </w:rPr>
        <w:t>Đội ngũ kỹ thuật viên thi công bắt buộc mặc đồng phục bảo hộ, đeo thẻ nhận diện công trình, tuân thủ nội quy an ninh của nhà trường và che chắn màng chắn bụi bảo vệ sàn gỗ và tường lớp học.</w:t>
      </w:r>
    </w:p>
    <w:p>
      <w:pPr>
        <w:spacing w:before="280" w:after="120"/>
      </w:pPr>
      <w:r>
        <w:rPr>
          <w:rFonts w:ascii="Calibri" w:hAnsi="Calibri"/>
          <w:b/>
          <w:color w:val="5B0E2D"/>
          <w:sz w:val="32"/>
        </w:rPr>
        <w:t>III. CAM KẾT BẢO HÀNH VÀ BẢO TRÌ ĐỊNH KỲ</w:t>
      </w:r>
    </w:p>
    <w:p>
      <w:pPr>
        <w:pStyle w:val="ListBullet"/>
        <w:spacing w:after="80" w:line="276" w:lineRule="auto"/>
      </w:pPr>
      <w:r>
        <w:rPr>
          <w:rFonts w:ascii="Calibri" w:hAnsi="Calibri"/>
          <w:color w:val="323232"/>
          <w:sz w:val="20"/>
        </w:rPr>
        <w:t>Khung sắt, cơ cấu ray trượt, bản lề, mối hàn chịu lực: Bảo hành chính hãng 24 - 36 tháng.</w:t>
      </w:r>
    </w:p>
    <w:p>
      <w:pPr>
        <w:pStyle w:val="ListBullet"/>
        <w:spacing w:after="80" w:line="276" w:lineRule="auto"/>
      </w:pPr>
      <w:r>
        <w:rPr>
          <w:rFonts w:ascii="Calibri" w:hAnsi="Calibri"/>
          <w:color w:val="323232"/>
          <w:sz w:val="20"/>
        </w:rPr>
        <w:t>Mặt gỗ, bề mặt Melamine, nỉ bọc đệm: Bảo hành 12 - 24 tháng đối với các lỗi cong vênh, co ngót do nhà sản xuất.</w:t>
      </w:r>
    </w:p>
    <w:p>
      <w:pPr>
        <w:pStyle w:val="ListBullet"/>
        <w:spacing w:after="80" w:line="276" w:lineRule="auto"/>
      </w:pPr>
      <w:r>
        <w:rPr>
          <w:rFonts w:ascii="Calibri" w:hAnsi="Calibri"/>
          <w:color w:val="323232"/>
          <w:sz w:val="20"/>
        </w:rPr>
        <w:t>Cam kết thời gian phản ứng hỗ trợ sự cố: Kỹ thuật viên có mặt xử lý trong vòng 04 giờ đối với trường hợp khẩn cấp gây mất an toàn học sinh; trong vòng 24 giờ đối với các lỗi thẩm mỹ thông thường.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