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/>
          <w:i/>
          <w:color w:val="787878"/>
          <w:sz w:val="17"/>
        </w:rPr>
        <w:t>MÃ HIỆU: KM-POL-SCH-03 | PHIÊN BẢN: 1.0 (2026-2027)</w:t>
        <w:br/>
        <w:t>LƯU HÀNH B2B NỘI BỘ &amp; ĐỐI TÁC TRƯỜNG HỌC</w:t>
      </w:r>
    </w:p>
    <w:p>
      <w:pPr>
        <w:spacing w:after="280"/>
        <w:jc w:val="left"/>
      </w:pPr>
      <w:r>
        <w:rPr>
          <w:rFonts w:ascii="Calibri" w:hAnsi="Calibri"/>
          <w:b/>
          <w:color w:val="1F4E79"/>
          <w:sz w:val="24"/>
        </w:rPr>
        <w:t>KHẢI MINH — SCHOOL SPACE &amp; INTERIOR SOLUTIONS</w:t>
        <w:br/>
      </w:r>
      <w:r>
        <w:rPr>
          <w:rFonts w:ascii="Calibri" w:hAnsi="Calibri"/>
          <w:b/>
          <w:color w:val="5B0E2D"/>
          <w:sz w:val="36"/>
        </w:rPr>
        <w:t>CHÍNH SÁCH CHIẾT KHẤU &amp; PHÂN CẤP PHÊ DUYỆT THƯƠNG MẠI</w:t>
        <w:br/>
      </w:r>
      <w:r>
        <w:rPr>
          <w:rFonts w:ascii="Calibri" w:hAnsi="Calibri"/>
          <w:color w:val="323232"/>
          <w:sz w:val="21"/>
        </w:rPr>
        <w:t>Quy định trần chiết khấu dự án trường học, kiểm soát biên lợi nhuận gộp và ngăn chặn hành vi chiết khấu trái quy định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Mar>
              <w:top w:w="140" w:type="dxa"/>
              <w:bottom w:w="140" w:type="dxa"/>
              <w:left w:w="200" w:type="dxa"/>
              <w:right w:w="200" w:type="dxa"/>
            </w:tcMar>
            <w:shd w:val="clear" w:color="auto" w:fill="F5E6EC"/>
          </w:tcPr>
          <w:p>
            <w:pPr>
              <w:spacing w:before="40" w:after="40"/>
            </w:pPr>
            <w:r>
              <w:rPr>
                <w:rFonts w:ascii="Calibri" w:hAnsi="Calibri"/>
                <w:i/>
                <w:color w:val="5B0E2D"/>
                <w:sz w:val="19"/>
              </w:rPr>
              <w:t>NGUYÊN TẮC MINH BẠCH B2B &amp; TUÂN THỦ PHÁP LUẬT MUA SẮM CÔNG:</w:t>
              <w:br/>
              <w:t>Mọi chiết khấu chỉ được áp dụng trực tiếp trên Giá trị Hợp đồng kinh tế giữa Khải Minh và Pháp nhân Nhà trường/Đơn vị thụ hưởng. Nghiêm cấm tuyệt đối mọi hình thức trích hoa hồng cá nhân, chiết khấu ngầm cho cá nhân phụ trách mua sắm của trường học.</w:t>
            </w:r>
          </w:p>
        </w:tc>
      </w:tr>
    </w:tbl>
    <w:p>
      <w:pPr>
        <w:spacing w:after="120"/>
      </w:pPr>
    </w:p>
    <w:p>
      <w:pPr>
        <w:spacing w:before="280" w:after="120"/>
      </w:pPr>
      <w:r>
        <w:rPr>
          <w:rFonts w:ascii="Calibri" w:hAnsi="Calibri"/>
          <w:b/>
          <w:color w:val="5B0E2D"/>
          <w:sz w:val="32"/>
        </w:rPr>
        <w:t>I. KHUNG CHIẾT KHẤU THEO QUY MÔ HỢP ĐỒNG</w:t>
      </w:r>
    </w:p>
    <w:p>
      <w:pPr>
        <w:pStyle w:val="ListBullet"/>
        <w:spacing w:after="80" w:line="276" w:lineRule="auto"/>
      </w:pPr>
      <w:r>
        <w:rPr>
          <w:rFonts w:ascii="Calibri" w:hAnsi="Calibri"/>
          <w:color w:val="323232"/>
          <w:sz w:val="20"/>
        </w:rPr>
        <w:t>Hợp đồng dưới 30 triệu đồng: Mức chiết khấu tối đa 0.0% - 3.0% (Áp dụng tặng kèm gói phụ kiện hoặc miễn phí vận chuyển).</w:t>
      </w:r>
    </w:p>
    <w:p>
      <w:pPr>
        <w:pStyle w:val="ListBullet"/>
        <w:spacing w:after="80" w:line="276" w:lineRule="auto"/>
      </w:pPr>
      <w:r>
        <w:rPr>
          <w:rFonts w:ascii="Calibri" w:hAnsi="Calibri"/>
          <w:color w:val="323232"/>
          <w:sz w:val="20"/>
        </w:rPr>
        <w:t>Hợp đồng từ 30 triệu đến dưới 80 triệu đồng: Mức chiết khấu tối đa 3.0% - 6.0% trên tổng giá trị vật tư.</w:t>
      </w:r>
    </w:p>
    <w:p>
      <w:pPr>
        <w:pStyle w:val="ListBullet"/>
        <w:spacing w:after="80" w:line="276" w:lineRule="auto"/>
      </w:pPr>
      <w:r>
        <w:rPr>
          <w:rFonts w:ascii="Calibri" w:hAnsi="Calibri"/>
          <w:color w:val="323232"/>
          <w:sz w:val="20"/>
        </w:rPr>
        <w:t>Hợp đồng từ 80 triệu đến dưới 200 triệu đồng: Mức chiết khấu tối đa 6.0% - 9.0%.</w:t>
      </w:r>
    </w:p>
    <w:p>
      <w:pPr>
        <w:pStyle w:val="ListBullet"/>
        <w:spacing w:after="80" w:line="276" w:lineRule="auto"/>
      </w:pPr>
      <w:r>
        <w:rPr>
          <w:rFonts w:ascii="Calibri" w:hAnsi="Calibri"/>
          <w:color w:val="323232"/>
          <w:sz w:val="20"/>
        </w:rPr>
        <w:t>Hợp đồng từ 200 triệu đồng trở lên hoặc chuỗi trường học: Mức chiết khấu từ 9.0% - 12.0% (Yêu cầu phê duyệt đặc biệt của Tổng Giám đốc).</w:t>
      </w:r>
    </w:p>
    <w:p>
      <w:pPr>
        <w:spacing w:before="280" w:after="120"/>
      </w:pPr>
      <w:r>
        <w:rPr>
          <w:rFonts w:ascii="Calibri" w:hAnsi="Calibri"/>
          <w:b/>
          <w:color w:val="5B0E2D"/>
          <w:sz w:val="32"/>
        </w:rPr>
        <w:t>II. CỔNG AN TOÀN BIÊN LỢI NHUẬN (GROSS MARGIN GATE)</w:t>
      </w:r>
    </w:p>
    <w:p>
      <w:pPr>
        <w:spacing w:after="80" w:line="276" w:lineRule="auto"/>
      </w:pPr>
      <w:r>
        <w:rPr>
          <w:rFonts w:ascii="Calibri" w:hAnsi="Calibri"/>
          <w:color w:val="323232"/>
          <w:sz w:val="20"/>
        </w:rPr>
        <w:t>Biên lợi nhuận gộp sau chiết khấu của toàn bộ dự án không được phép rơi xuống dưới 18.0%.</w:t>
      </w:r>
    </w:p>
    <w:p>
      <w:pPr>
        <w:spacing w:after="80" w:line="276" w:lineRule="auto"/>
      </w:pPr>
      <w:r>
        <w:rPr>
          <w:rFonts w:ascii="Calibri" w:hAnsi="Calibri"/>
          <w:color w:val="323232"/>
          <w:sz w:val="20"/>
        </w:rPr>
        <w:t>Nếu dự án có yêu cầu chiết khấu lớn khiến biên lợi nhuận &lt; 18.0%, phần mềm quản trị hệ thống sẽ tự động khóa và chuyển sang trạng thái 'BLOCKED_MARGIN_GATE'. Chỉ có Tổng Giám đốc có quyền mở khóa khi có phương án bù đắp chiến lược bằng văn bản.</w:t>
      </w:r>
    </w:p>
    <w:p>
      <w:pPr>
        <w:spacing w:before="280" w:after="120"/>
      </w:pPr>
      <w:r>
        <w:rPr>
          <w:rFonts w:ascii="Calibri" w:hAnsi="Calibri"/>
          <w:b/>
          <w:color w:val="5B0E2D"/>
          <w:sz w:val="32"/>
        </w:rPr>
        <w:t>III. BẢNG PHÂN CẤP THẨM QUYỀN DUYỆT CHIẾT KHẤU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Cấp Thẩm Quyền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Hạn Mức Chiết Khấu Tối Đa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Điều Kiện Biên Lãi Dự Án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Thời Gian Phê Duyệt</w:t>
            </w:r>
          </w:p>
        </w:tc>
      </w:tr>
      <w:tr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Chuyên viên Kinh doanh B2B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0.0% (Chỉ tư vấn đúng giá niêm yết)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≥ 25.0%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Tức thì</w:t>
            </w:r>
          </w:p>
        </w:tc>
      </w:tr>
      <w:tr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Trưởng phòng Kinh doanh B2B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Lên đến 5.0%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≥ 22.0%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Trong vòng 02 giờ</w:t>
            </w:r>
          </w:p>
        </w:tc>
      </w:tr>
      <w:tr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Giám đốc Thương mại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Lên đến 8.0%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≥ 19.0%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Trong vòng 04 giờ</w:t>
            </w:r>
          </w:p>
        </w:tc>
      </w:tr>
      <w:tr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Tổng Giám đốc Điều hành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Trên 8.0% (Tối đa 12.0%)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≥ 16.0% (Ngoại lệ)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t>Trong vòng 24 giờ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